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2024 478 vom 15. Mai 2025</w:t>
      </w:r>
    </w:p>
    <w:p>
      <w:r>
        <w:t>BE Obergericht, 2025-05-15, DE</w:t>
      </w:r>
    </w:p>
    <w:p>
      <w:r>
        <w:rPr>
          <w:b/>
        </w:rPr>
        <w:t xml:space="preserve">Quelle: </w:t>
      </w:r>
      <w:r>
        <w:t>https://mcp.opencaselaw.ch/entscheid/be_zivilstraf_ZK 2024 478</w:t>
      </w:r>
    </w:p>
    <w:p>
      <w:r>
        <w:t>FR: BE_ZIVILSTRAF ZK 2024 478 du 15 mai 2025</w:t>
      </w:r>
    </w:p>
    <w:p>
      <w:r>
        <w:t>IT: BE_ZIVILSTRAF ZK 2024 478 del 15 maggio 2025</w:t>
      </w:r>
    </w:p>
    <w:p>
      <w:pPr>
        <w:pStyle w:val="Heading2"/>
      </w:pPr>
      <w:r>
        <w:t>Erwägungen</w:t>
      </w:r>
    </w:p>
    <w:p>
      <w:r>
        <w:rPr>
          <w:b/>
        </w:rPr>
        <w:t>E. 2</w:t>
      </w:r>
    </w:p>
    <w:p>
      <w:r>
        <w:t>Regeste: Art. 159 Abs. 3 und Art. 163 ZGB: Zuständigkeit für ein oberinstanzlich gestelltes Gesuch um Prozesskostenvorschuss im Eheschutzverfahren In Änderung seiner Praxis und Angleichung an die bundesgerichtliche Rechtsprechung zu Art. 276 ZPO erachtet sich das Obergericht für ein im Eheschutzverfahren oberinstanzlich gestelltes Gesuch um Prozesskostenvorschuss als zuständig (E. 4.3). Erwägungen (auszugsweise):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